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8" w:type="dxa"/>
        <w:tblInd w:w="-882" w:type="dxa"/>
        <w:tblLook w:val="04A0" w:firstRow="1" w:lastRow="0" w:firstColumn="1" w:lastColumn="0" w:noHBand="0" w:noVBand="1"/>
      </w:tblPr>
      <w:tblGrid>
        <w:gridCol w:w="4527"/>
        <w:gridCol w:w="1194"/>
        <w:gridCol w:w="437"/>
        <w:gridCol w:w="518"/>
        <w:gridCol w:w="760"/>
        <w:gridCol w:w="760"/>
        <w:gridCol w:w="1002"/>
        <w:gridCol w:w="769"/>
        <w:gridCol w:w="821"/>
      </w:tblGrid>
      <w:tr w:rsidR="00C67F04" w:rsidRPr="0083790C" w:rsidTr="00C67F04">
        <w:trPr>
          <w:trHeight w:val="577"/>
        </w:trPr>
        <w:tc>
          <w:tcPr>
            <w:tcW w:w="4872" w:type="dxa"/>
          </w:tcPr>
          <w:p w:rsidR="0083790C" w:rsidRPr="0083790C" w:rsidRDefault="00C67F04" w:rsidP="0083790C">
            <w:pPr>
              <w:rPr>
                <w:rFonts w:ascii="Times New Roman" w:hAnsi="Times New Roman" w:cs="Times New Roman"/>
              </w:rPr>
            </w:pPr>
            <w:hyperlink r:id="rId4" w:history="1">
              <w:r w:rsidR="0083790C" w:rsidRPr="00C67F04">
                <w:rPr>
                  <w:rStyle w:val="Hyperlink"/>
                  <w:rFonts w:ascii="Times New Roman" w:hAnsi="Times New Roman" w:cs="Times New Roman"/>
                </w:rPr>
                <w:t>VA TSIP standards (VAC20-25-30) Addressed</w:t>
              </w:r>
            </w:hyperlink>
          </w:p>
        </w:tc>
        <w:tc>
          <w:tcPr>
            <w:tcW w:w="528"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1</w:t>
            </w:r>
          </w:p>
        </w:tc>
        <w:tc>
          <w:tcPr>
            <w:tcW w:w="45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2</w:t>
            </w:r>
          </w:p>
        </w:tc>
        <w:tc>
          <w:tcPr>
            <w:tcW w:w="54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3</w:t>
            </w:r>
          </w:p>
        </w:tc>
        <w:tc>
          <w:tcPr>
            <w:tcW w:w="81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4</w:t>
            </w:r>
          </w:p>
        </w:tc>
        <w:tc>
          <w:tcPr>
            <w:tcW w:w="81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5</w:t>
            </w:r>
          </w:p>
        </w:tc>
        <w:tc>
          <w:tcPr>
            <w:tcW w:w="108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6</w:t>
            </w:r>
          </w:p>
        </w:tc>
        <w:tc>
          <w:tcPr>
            <w:tcW w:w="820"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7</w:t>
            </w:r>
          </w:p>
        </w:tc>
        <w:tc>
          <w:tcPr>
            <w:tcW w:w="878" w:type="dxa"/>
          </w:tcPr>
          <w:p w:rsidR="0083790C" w:rsidRPr="0083790C" w:rsidRDefault="00C67F04" w:rsidP="00C67F04">
            <w:pPr>
              <w:jc w:val="center"/>
              <w:rPr>
                <w:rFonts w:ascii="Times New Roman" w:hAnsi="Times New Roman" w:cs="Times New Roman"/>
              </w:rPr>
            </w:pPr>
            <w:r>
              <w:rPr>
                <w:rFonts w:ascii="Times New Roman" w:hAnsi="Times New Roman" w:cs="Times New Roman"/>
              </w:rPr>
              <w:t>8</w:t>
            </w:r>
          </w:p>
        </w:tc>
      </w:tr>
      <w:tr w:rsidR="00C67F04" w:rsidRPr="0083790C" w:rsidTr="00C67F04">
        <w:trPr>
          <w:trHeight w:val="493"/>
        </w:trPr>
        <w:tc>
          <w:tcPr>
            <w:tcW w:w="4872" w:type="dxa"/>
          </w:tcPr>
          <w:p w:rsidR="0083790C" w:rsidRPr="0083790C" w:rsidRDefault="00C67F04">
            <w:pPr>
              <w:rPr>
                <w:rFonts w:ascii="Times New Roman" w:hAnsi="Times New Roman" w:cs="Times New Roman"/>
              </w:rPr>
            </w:pPr>
            <w:hyperlink r:id="rId5" w:history="1">
              <w:r w:rsidR="0083790C" w:rsidRPr="00C67F04">
                <w:rPr>
                  <w:rStyle w:val="Hyperlink"/>
                  <w:rFonts w:ascii="Times New Roman" w:hAnsi="Times New Roman" w:cs="Times New Roman"/>
                </w:rPr>
                <w:t>ISTE NETs*T</w:t>
              </w:r>
            </w:hyperlink>
          </w:p>
        </w:tc>
        <w:tc>
          <w:tcPr>
            <w:tcW w:w="528" w:type="dxa"/>
          </w:tcPr>
          <w:p w:rsidR="0083790C" w:rsidRPr="0083790C" w:rsidRDefault="0083790C">
            <w:pPr>
              <w:rPr>
                <w:rFonts w:ascii="Times New Roman" w:hAnsi="Times New Roman" w:cs="Times New Roman"/>
              </w:rPr>
            </w:pPr>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r w:rsidR="00C67F04" w:rsidRPr="0083790C" w:rsidTr="00C67F04">
        <w:trPr>
          <w:trHeight w:val="1495"/>
        </w:trPr>
        <w:tc>
          <w:tcPr>
            <w:tcW w:w="4872" w:type="dxa"/>
          </w:tcPr>
          <w:p w:rsidR="0083790C" w:rsidRPr="0083790C" w:rsidRDefault="0083790C">
            <w:pPr>
              <w:rPr>
                <w:rFonts w:ascii="Times New Roman" w:hAnsi="Times New Roman" w:cs="Times New Roman"/>
                <w:b/>
              </w:rPr>
            </w:pPr>
            <w:r w:rsidRPr="0083790C">
              <w:rPr>
                <w:rFonts w:ascii="Times New Roman" w:hAnsi="Times New Roman" w:cs="Times New Roman"/>
                <w:b/>
              </w:rPr>
              <w:t>Facilitate and Inspire Student Learning and Creativity</w:t>
            </w:r>
          </w:p>
          <w:p w:rsidR="0083790C" w:rsidRPr="0083790C" w:rsidRDefault="0083790C">
            <w:pPr>
              <w:rPr>
                <w:rFonts w:ascii="Times New Roman" w:hAnsi="Times New Roman" w:cs="Times New Roman"/>
              </w:rPr>
            </w:pPr>
          </w:p>
          <w:p w:rsidR="0083790C" w:rsidRPr="0083790C" w:rsidRDefault="0083790C">
            <w:pPr>
              <w:rPr>
                <w:rFonts w:ascii="Times New Roman" w:hAnsi="Times New Roman" w:cs="Times New Roman"/>
              </w:rPr>
            </w:pPr>
            <w:r w:rsidRPr="0083790C">
              <w:rPr>
                <w:rFonts w:ascii="Times New Roman" w:hAnsi="Times New Roman" w:cs="Times New Roman"/>
              </w:rPr>
              <w:t>Teachers use their knowledge of subject matter, teaching, and learning to facilitate experiences that advance student learning creativity, and innovation in both face-to-face and virtual environments.</w:t>
            </w:r>
          </w:p>
        </w:tc>
        <w:tc>
          <w:tcPr>
            <w:tcW w:w="528" w:type="dxa"/>
          </w:tcPr>
          <w:p w:rsidR="0083790C" w:rsidRPr="0083790C" w:rsidRDefault="00C67F04">
            <w:pPr>
              <w:rPr>
                <w:rFonts w:ascii="Times New Roman" w:hAnsi="Times New Roman" w:cs="Times New Roman"/>
              </w:rPr>
            </w:pPr>
            <w:r>
              <w:rPr>
                <w:rFonts w:ascii="Times New Roman" w:hAnsi="Times New Roman" w:cs="Times New Roman"/>
              </w:rPr>
              <w:t>Storehouse Storybook</w:t>
            </w:r>
            <w:bookmarkStart w:id="0" w:name="_GoBack"/>
            <w:bookmarkEnd w:id="0"/>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r w:rsidR="00C67F04" w:rsidRPr="0083790C" w:rsidTr="00C67F04">
        <w:trPr>
          <w:trHeight w:val="1412"/>
        </w:trPr>
        <w:tc>
          <w:tcPr>
            <w:tcW w:w="4872" w:type="dxa"/>
          </w:tcPr>
          <w:p w:rsidR="0083790C" w:rsidRDefault="0083790C">
            <w:pPr>
              <w:rPr>
                <w:rFonts w:ascii="Times New Roman" w:hAnsi="Times New Roman" w:cs="Times New Roman"/>
                <w:b/>
              </w:rPr>
            </w:pPr>
            <w:r w:rsidRPr="0083790C">
              <w:rPr>
                <w:rFonts w:ascii="Times New Roman" w:hAnsi="Times New Roman" w:cs="Times New Roman"/>
                <w:b/>
              </w:rPr>
              <w:t>Design and Develop Digital-Age Learning Experiences and Assessments</w:t>
            </w:r>
          </w:p>
          <w:p w:rsidR="00C67F04" w:rsidRDefault="00C67F04">
            <w:pPr>
              <w:rPr>
                <w:rFonts w:ascii="Times New Roman" w:hAnsi="Times New Roman" w:cs="Times New Roman"/>
                <w:b/>
              </w:rPr>
            </w:pPr>
          </w:p>
          <w:p w:rsidR="00C67F04" w:rsidRPr="00C67F04" w:rsidRDefault="00C67F04">
            <w:pPr>
              <w:rPr>
                <w:rFonts w:ascii="Times New Roman" w:hAnsi="Times New Roman" w:cs="Times New Roman"/>
              </w:rPr>
            </w:pPr>
            <w:r>
              <w:rPr>
                <w:rFonts w:ascii="Times New Roman" w:hAnsi="Times New Roman" w:cs="Times New Roman"/>
              </w:rPr>
              <w:t>Teachers design, develop, and evaluate authentic learning experiences and assessment incorporating contemporary tools and resources to maximize content learning in context and to develop the knowledge, skills, and attitudes identified in the NETS-S.</w:t>
            </w:r>
          </w:p>
        </w:tc>
        <w:tc>
          <w:tcPr>
            <w:tcW w:w="528" w:type="dxa"/>
          </w:tcPr>
          <w:p w:rsidR="0083790C" w:rsidRPr="0083790C" w:rsidRDefault="0083790C">
            <w:pPr>
              <w:rPr>
                <w:rFonts w:ascii="Times New Roman" w:hAnsi="Times New Roman" w:cs="Times New Roman"/>
              </w:rPr>
            </w:pPr>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r w:rsidR="00C67F04" w:rsidRPr="0083790C" w:rsidTr="00C67F04">
        <w:trPr>
          <w:trHeight w:val="237"/>
        </w:trPr>
        <w:tc>
          <w:tcPr>
            <w:tcW w:w="4872" w:type="dxa"/>
          </w:tcPr>
          <w:p w:rsidR="00C67F04" w:rsidRPr="00C67F04" w:rsidRDefault="00C67F04" w:rsidP="00C67F04">
            <w:pPr>
              <w:rPr>
                <w:rFonts w:ascii="Times New Roman" w:hAnsi="Times New Roman" w:cs="Times New Roman"/>
                <w:b/>
              </w:rPr>
            </w:pPr>
            <w:r w:rsidRPr="00C67F04">
              <w:rPr>
                <w:rFonts w:ascii="Times New Roman" w:hAnsi="Times New Roman" w:cs="Times New Roman"/>
                <w:b/>
              </w:rPr>
              <w:t>Model Digital-Age Work and Learning</w:t>
            </w:r>
          </w:p>
          <w:p w:rsidR="00C67F04" w:rsidRPr="00C67F04" w:rsidRDefault="00C67F04" w:rsidP="00C67F04">
            <w:pPr>
              <w:rPr>
                <w:rFonts w:ascii="Times New Roman" w:hAnsi="Times New Roman" w:cs="Times New Roman"/>
                <w:b/>
              </w:rPr>
            </w:pPr>
          </w:p>
          <w:p w:rsidR="0083790C" w:rsidRPr="0083790C" w:rsidRDefault="00C67F04" w:rsidP="00C67F04">
            <w:pPr>
              <w:rPr>
                <w:rFonts w:ascii="Times New Roman" w:hAnsi="Times New Roman" w:cs="Times New Roman"/>
              </w:rPr>
            </w:pPr>
            <w:r w:rsidRPr="00C67F04">
              <w:rPr>
                <w:rFonts w:ascii="Times New Roman" w:hAnsi="Times New Roman" w:cs="Times New Roman"/>
              </w:rPr>
              <w:t>Teachers exhibit knowledge, skills, and work processes representative of an innovative professional in a global and digital society.</w:t>
            </w:r>
          </w:p>
        </w:tc>
        <w:tc>
          <w:tcPr>
            <w:tcW w:w="528" w:type="dxa"/>
          </w:tcPr>
          <w:p w:rsidR="0083790C" w:rsidRPr="0083790C" w:rsidRDefault="0083790C">
            <w:pPr>
              <w:rPr>
                <w:rFonts w:ascii="Times New Roman" w:hAnsi="Times New Roman" w:cs="Times New Roman"/>
              </w:rPr>
            </w:pPr>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r w:rsidR="00C67F04" w:rsidRPr="0083790C" w:rsidTr="00C67F04">
        <w:trPr>
          <w:trHeight w:val="251"/>
        </w:trPr>
        <w:tc>
          <w:tcPr>
            <w:tcW w:w="4872" w:type="dxa"/>
          </w:tcPr>
          <w:p w:rsidR="00C67F04" w:rsidRPr="00C67F04" w:rsidRDefault="00C67F04" w:rsidP="00C67F04">
            <w:pPr>
              <w:rPr>
                <w:rFonts w:ascii="Times New Roman" w:hAnsi="Times New Roman" w:cs="Times New Roman"/>
                <w:b/>
              </w:rPr>
            </w:pPr>
            <w:r w:rsidRPr="00C67F04">
              <w:rPr>
                <w:rFonts w:ascii="Times New Roman" w:hAnsi="Times New Roman" w:cs="Times New Roman"/>
                <w:b/>
              </w:rPr>
              <w:t>Promote and Model Digital Citizenship and Responsibility</w:t>
            </w:r>
          </w:p>
          <w:p w:rsidR="00C67F04" w:rsidRPr="00C67F04" w:rsidRDefault="00C67F04" w:rsidP="00C67F04">
            <w:pPr>
              <w:rPr>
                <w:rFonts w:ascii="Times New Roman" w:hAnsi="Times New Roman" w:cs="Times New Roman"/>
              </w:rPr>
            </w:pPr>
          </w:p>
          <w:p w:rsidR="0083790C" w:rsidRPr="0083790C" w:rsidRDefault="00C67F04" w:rsidP="00C67F04">
            <w:pPr>
              <w:rPr>
                <w:rFonts w:ascii="Times New Roman" w:hAnsi="Times New Roman" w:cs="Times New Roman"/>
              </w:rPr>
            </w:pPr>
            <w:r w:rsidRPr="00C67F04">
              <w:rPr>
                <w:rFonts w:ascii="Times New Roman" w:hAnsi="Times New Roman" w:cs="Times New Roman"/>
              </w:rPr>
              <w:t>Teachers understand local and global societal issues and responsibilities in an evolving digital culture and exhibit legal and ethical behavior in their professional practices.</w:t>
            </w:r>
          </w:p>
        </w:tc>
        <w:tc>
          <w:tcPr>
            <w:tcW w:w="528" w:type="dxa"/>
          </w:tcPr>
          <w:p w:rsidR="0083790C" w:rsidRPr="0083790C" w:rsidRDefault="0083790C">
            <w:pPr>
              <w:rPr>
                <w:rFonts w:ascii="Times New Roman" w:hAnsi="Times New Roman" w:cs="Times New Roman"/>
              </w:rPr>
            </w:pPr>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r w:rsidR="00C67F04" w:rsidRPr="0083790C" w:rsidTr="00C67F04">
        <w:trPr>
          <w:trHeight w:val="237"/>
        </w:trPr>
        <w:tc>
          <w:tcPr>
            <w:tcW w:w="4872" w:type="dxa"/>
          </w:tcPr>
          <w:p w:rsidR="00C67F04" w:rsidRPr="00C67F04" w:rsidRDefault="00C67F04" w:rsidP="00C67F04">
            <w:pPr>
              <w:rPr>
                <w:rFonts w:ascii="Times New Roman" w:hAnsi="Times New Roman" w:cs="Times New Roman"/>
                <w:b/>
              </w:rPr>
            </w:pPr>
            <w:r w:rsidRPr="00C67F04">
              <w:rPr>
                <w:rFonts w:ascii="Times New Roman" w:hAnsi="Times New Roman" w:cs="Times New Roman"/>
                <w:b/>
              </w:rPr>
              <w:t>Engage in Professional Growth and Leadership</w:t>
            </w:r>
          </w:p>
          <w:p w:rsidR="00C67F04" w:rsidRPr="00C67F04" w:rsidRDefault="00C67F04" w:rsidP="00C67F04">
            <w:pPr>
              <w:rPr>
                <w:rFonts w:ascii="Times New Roman" w:hAnsi="Times New Roman" w:cs="Times New Roman"/>
              </w:rPr>
            </w:pPr>
          </w:p>
          <w:p w:rsidR="0083790C" w:rsidRPr="0083790C" w:rsidRDefault="00C67F04" w:rsidP="00C67F04">
            <w:pPr>
              <w:rPr>
                <w:rFonts w:ascii="Times New Roman" w:hAnsi="Times New Roman" w:cs="Times New Roman"/>
              </w:rPr>
            </w:pPr>
            <w:r w:rsidRPr="00C67F04">
              <w:rPr>
                <w:rFonts w:ascii="Times New Roman" w:hAnsi="Times New Roman" w:cs="Times New Roman"/>
              </w:rPr>
              <w:t>Teachers continuously improve their professional practice, model lifelong learning, and exhibit leadership in their school and professional community by promoting and demonstrating the effective use of digital tools and resources.</w:t>
            </w:r>
          </w:p>
        </w:tc>
        <w:tc>
          <w:tcPr>
            <w:tcW w:w="528" w:type="dxa"/>
          </w:tcPr>
          <w:p w:rsidR="0083790C" w:rsidRPr="0083790C" w:rsidRDefault="0083790C">
            <w:pPr>
              <w:rPr>
                <w:rFonts w:ascii="Times New Roman" w:hAnsi="Times New Roman" w:cs="Times New Roman"/>
              </w:rPr>
            </w:pPr>
          </w:p>
        </w:tc>
        <w:tc>
          <w:tcPr>
            <w:tcW w:w="450" w:type="dxa"/>
          </w:tcPr>
          <w:p w:rsidR="0083790C" w:rsidRPr="0083790C" w:rsidRDefault="0083790C">
            <w:pPr>
              <w:rPr>
                <w:rFonts w:ascii="Times New Roman" w:hAnsi="Times New Roman" w:cs="Times New Roman"/>
              </w:rPr>
            </w:pPr>
          </w:p>
        </w:tc>
        <w:tc>
          <w:tcPr>
            <w:tcW w:w="54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810" w:type="dxa"/>
          </w:tcPr>
          <w:p w:rsidR="0083790C" w:rsidRPr="0083790C" w:rsidRDefault="0083790C">
            <w:pPr>
              <w:rPr>
                <w:rFonts w:ascii="Times New Roman" w:hAnsi="Times New Roman" w:cs="Times New Roman"/>
              </w:rPr>
            </w:pPr>
          </w:p>
        </w:tc>
        <w:tc>
          <w:tcPr>
            <w:tcW w:w="1080" w:type="dxa"/>
          </w:tcPr>
          <w:p w:rsidR="0083790C" w:rsidRPr="0083790C" w:rsidRDefault="0083790C">
            <w:pPr>
              <w:rPr>
                <w:rFonts w:ascii="Times New Roman" w:hAnsi="Times New Roman" w:cs="Times New Roman"/>
              </w:rPr>
            </w:pPr>
          </w:p>
        </w:tc>
        <w:tc>
          <w:tcPr>
            <w:tcW w:w="820" w:type="dxa"/>
          </w:tcPr>
          <w:p w:rsidR="0083790C" w:rsidRPr="0083790C" w:rsidRDefault="0083790C">
            <w:pPr>
              <w:rPr>
                <w:rFonts w:ascii="Times New Roman" w:hAnsi="Times New Roman" w:cs="Times New Roman"/>
              </w:rPr>
            </w:pPr>
          </w:p>
        </w:tc>
        <w:tc>
          <w:tcPr>
            <w:tcW w:w="878" w:type="dxa"/>
          </w:tcPr>
          <w:p w:rsidR="0083790C" w:rsidRPr="0083790C" w:rsidRDefault="0083790C">
            <w:pPr>
              <w:rPr>
                <w:rFonts w:ascii="Times New Roman" w:hAnsi="Times New Roman" w:cs="Times New Roman"/>
              </w:rPr>
            </w:pPr>
          </w:p>
        </w:tc>
      </w:tr>
    </w:tbl>
    <w:p w:rsidR="00C825A3" w:rsidRPr="0083790C" w:rsidRDefault="00C825A3">
      <w:pPr>
        <w:rPr>
          <w:rFonts w:ascii="Times New Roman" w:hAnsi="Times New Roman" w:cs="Times New Roman"/>
        </w:rPr>
      </w:pPr>
    </w:p>
    <w:sectPr w:rsidR="00C825A3" w:rsidRPr="0083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8F"/>
    <w:rsid w:val="00561A5C"/>
    <w:rsid w:val="00641C8F"/>
    <w:rsid w:val="0083790C"/>
    <w:rsid w:val="00C67F04"/>
    <w:rsid w:val="00C8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D450-AABF-4223-985E-5E26218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C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org/docs/pdfs/nets_for_teachers_2000.pdf?sfvrsn=2" TargetMode="External"/><Relationship Id="rId4" Type="http://schemas.openxmlformats.org/officeDocument/2006/relationships/hyperlink" Target="http://stafford.schoolfusion.us/modules/cms/pages.phtml?sessionid=f29654ef30&amp;pageid=25927&amp;sessionid=f29654ef30&amp;printable=TRUE&amp;sessionid=d34aa824a1a2f1a97a83a08524004021&amp;portrait_or_landscape=landscape&amp;sessionid=d34aa824a1a2f1a97a83a0852400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Rawlings</dc:creator>
  <cp:keywords/>
  <dc:description/>
  <cp:lastModifiedBy>Yolanda Rawlings</cp:lastModifiedBy>
  <cp:revision>1</cp:revision>
  <dcterms:created xsi:type="dcterms:W3CDTF">2014-12-12T06:58:00Z</dcterms:created>
  <dcterms:modified xsi:type="dcterms:W3CDTF">2014-12-12T08:51:00Z</dcterms:modified>
</cp:coreProperties>
</file>